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12 SESIONES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2023 - 2024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</w:tcBorders>
            <w:shd w:fill="5e469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12 sesiones | hasta 500 caracteres cada sesión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1ª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2ª sesión: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3ª sesión: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4ª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5ª sesión: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6ª sesión: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7ª sesión: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8ª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9ª sesión: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10ª sesión: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11ª sesión: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12ª sesión: Preparación y montaje muestra final.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9900ff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9900ff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-365139</wp:posOffset>
          </wp:positionV>
          <wp:extent cx="7800975" cy="1050940"/>
          <wp:effectExtent b="0" l="0" r="0" t="0"/>
          <wp:wrapSquare wrapText="bothSides" distB="0" distT="0" distL="114300" distR="114300"/>
          <wp:docPr id="2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50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2033588</wp:posOffset>
              </wp:positionH>
              <wp:positionV relativeFrom="page">
                <wp:posOffset>804863</wp:posOffset>
              </wp:positionV>
              <wp:extent cx="5362575" cy="533400"/>
              <wp:effectExtent b="0" l="0" r="0" t="0"/>
              <wp:wrapTopAndBottom distB="0" distT="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4800" y="3583800"/>
                        <a:ext cx="44424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2033588</wp:posOffset>
              </wp:positionH>
              <wp:positionV relativeFrom="page">
                <wp:posOffset>804863</wp:posOffset>
              </wp:positionV>
              <wp:extent cx="5362575" cy="533400"/>
              <wp:effectExtent b="0" l="0" r="0" t="0"/>
              <wp:wrapTopAndBottom distB="0" distT="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62575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pict>
        <v:shape id="WordPictureWatermark1" style="position:absolute;width:470.20000000000005pt;height:293.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5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0</wp:posOffset>
          </wp:positionV>
          <wp:extent cx="6915150" cy="1097280"/>
          <wp:effectExtent b="0" l="0" r="0" t="0"/>
          <wp:wrapSquare wrapText="bothSides" distB="0" distT="0" distL="114300" distR="114300"/>
          <wp:docPr id="21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25677" l="33" r="32" t="0"/>
                  <a:stretch>
                    <a:fillRect/>
                  </a:stretch>
                </pic:blipFill>
                <pic:spPr>
                  <a:xfrm>
                    <a:off x="0" y="0"/>
                    <a:ext cx="6915150" cy="1097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70.20000000000005pt;height:293.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70.20000000000005pt;height:293.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+thVOvXNuMhw6OmBYUgwOVlsw==">CgMxLjA4AHIhMUJ3akJLdDdJdDFZc3hFdnEyUDJTN0RrOXZOWGtOTnM1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